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9A" w:rsidRPr="002A719A" w:rsidRDefault="002A719A" w:rsidP="002A7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9A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2A719A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2A719A">
        <w:rPr>
          <w:rFonts w:ascii="Times New Roman" w:hAnsi="Times New Roman" w:cs="Times New Roman"/>
          <w:b/>
          <w:sz w:val="28"/>
          <w:szCs w:val="28"/>
        </w:rPr>
        <w:t xml:space="preserve"> программы района</w:t>
      </w:r>
    </w:p>
    <w:p w:rsidR="002A719A" w:rsidRPr="002A719A" w:rsidRDefault="002A719A" w:rsidP="002A7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9A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gramStart"/>
      <w:r w:rsidRPr="002A71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A71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A719A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2A719A">
        <w:rPr>
          <w:rFonts w:ascii="Times New Roman" w:hAnsi="Times New Roman" w:cs="Times New Roman"/>
          <w:b/>
          <w:sz w:val="28"/>
          <w:szCs w:val="28"/>
        </w:rPr>
        <w:t xml:space="preserve"> районе </w:t>
      </w:r>
    </w:p>
    <w:p w:rsidR="002A719A" w:rsidRPr="002A719A" w:rsidRDefault="002A719A" w:rsidP="002A7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9A">
        <w:rPr>
          <w:rFonts w:ascii="Times New Roman" w:hAnsi="Times New Roman" w:cs="Times New Roman"/>
          <w:b/>
          <w:sz w:val="28"/>
          <w:szCs w:val="28"/>
        </w:rPr>
        <w:t xml:space="preserve">на 2014–2020 годы» </w:t>
      </w:r>
    </w:p>
    <w:p w:rsidR="002A719A" w:rsidRPr="002A719A" w:rsidRDefault="002A719A" w:rsidP="002A7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19A">
        <w:rPr>
          <w:rFonts w:ascii="Times New Roman" w:hAnsi="Times New Roman" w:cs="Times New Roman"/>
          <w:b/>
          <w:sz w:val="28"/>
          <w:szCs w:val="28"/>
        </w:rPr>
        <w:t>(далее – муниципальная программа)</w:t>
      </w:r>
    </w:p>
    <w:p w:rsidR="002A719A" w:rsidRPr="002A719A" w:rsidRDefault="002A719A" w:rsidP="002A71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/>
      </w:tblPr>
      <w:tblGrid>
        <w:gridCol w:w="3686"/>
        <w:gridCol w:w="6203"/>
      </w:tblGrid>
      <w:tr w:rsidR="002A719A" w:rsidRPr="002A719A" w:rsidTr="004150FE">
        <w:trPr>
          <w:trHeight w:val="970"/>
        </w:trPr>
        <w:tc>
          <w:tcPr>
            <w:tcW w:w="3686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образования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2014–2020 годы»</w:t>
            </w:r>
          </w:p>
        </w:tc>
      </w:tr>
      <w:tr w:rsidR="002A719A" w:rsidRPr="002A719A" w:rsidTr="004150FE">
        <w:tc>
          <w:tcPr>
            <w:tcW w:w="3686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</w:t>
            </w: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отдел по организации деятельности комиссии по делам несовершеннолетних и защите их прав администрации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отдел по жилищным вопросам и муниципальной собственности администрации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отдел записи актов гражданского состояния администрации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служба по организации деятельности </w:t>
            </w:r>
            <w:proofErr w:type="spell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администрации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«Телевидение Нижневартовского района»;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муниципальные бюджетные образовательные учреждения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«Районный центр творчества детей и молодежи «Спектр»;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«Центр развития образования»;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районный комплексный молодежный центр «Луч»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безопасности дорожного движения;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 комплексного решения проблем организации детского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отдыха, занятости;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реализации молодежной политики в интересах инновационного социально ориентированного развития Нижневартовского района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модернизация дошкольного, общего и дополнительного образования детей. Создание современной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системы оценки качества образования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принципов открытости, объективности, прозрачности, общественно-профессионального участия. Развитие инфраструктуры и организационно-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экономических механизмов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, обеспечивающих равную доступность услуг дошкольного, общего и дополнительного образования детей;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системы профилактики правонарушений в сфере безопасности дорожного движения;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системы профилактики наркомании и алкоголизма среди детей, подростков и молодежи;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системы организации в каникулярное время отдыха, оздоровления, занятости детей, подростков и молодежи;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системы по социализации и самореализации молодежи, развитию потенциала молодежи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I «Развитие дошкольного, общего образования и дополнительного образования </w:t>
            </w: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 «Развитие системы дошкольного, общего образования и дополнительного образования детей»;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 «Обеспечение комплексной безопасности и комфортных условий образовательного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процесса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и дополнительном образовании. Развитие инфраструктуры дошкольного, общего и дополнительного образования детей»;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подпрограмма II «Профилактика правонарушений в сфере безопасности дорожного движения на территории района»;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 «Проведение мероприятий по профилактике правонарушений в сфере безопасности дорожного движения»;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подпрограмма III «Комплексные меры профилактики наркомании и алкоголизма среди детей, подростков и молодежи»;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 «Проведение мероприятий по профилактике наркомании и алкоголизма среди детей, подростков и молодежи»;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подпрограмма IV «Организация в каникулярное время отдыха, оздоровления, занятости детей, подростков и молодежи района»;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 «Проведение мероприятий по организации в каникулярное время отдыха, оздоровления, занятости детей, подростков и молодежи»;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подпрограмма V «Молодежь Нижневартовского района»;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 «Проведение мероприятий по обеспечению эффективной системы по социализации и самореализации молодежи, развитию потенциала молодежи»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</w:t>
            </w: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обучающихся 5−11 классов, принявших участие в школьном этапе Всероссийской олимпиады школьников (в общей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обучающихся), − с 50 до 56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административно-управленческого и педагогического персонала муниципальных бюджетных образовательных </w:t>
            </w: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района, прошедших подготовку или повышение квалификации на основе персонифицированной модели и (или) для работы в соответствии с федеральными государственными образовательными стандартами, − ежегодно не менее 33,3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обучающихся муниципальных бюджетных образовательных учреждений района,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новым федеральным государственным образовательным стандартам), − с 82 до 100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муниципальных бюджетных образовательных учреждений района, в которых обеспечена возможность пользоваться столовыми, соответствующими современным требованиям, − с 89 до 100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количество сданных объектов муниципальных бюджетных дошкольных образовательных учреждений района, в том числе в составе комплексов – 2 единицы к 2020 году;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создание дополнительных ме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ст в гр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уппах присмотра и ухода, организованных индивидуальными предпринимателями (единиц), − с 0 до 20 мест;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уменьшение доли детей в возрасте от одного года до шести лет, состоящих на учете для определения в муниципальные бюджетные дошкольные образовательные учреждения района, в общей численности детей в возрасте от одного года до шести лет, с 5,8 до 4,3 процентов;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сохранение доли населения в возрасте 7−18 лет, охваченного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           в возрасте 7−18 лет − ежегодно до 99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размера среднемесячной заработной </w:t>
            </w: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платы педагогических работников дошкольных образовательных учреждений района −                         с 43 711,40 до 57 882,00 руб.;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размера среднемесячной заработной платы педагогических работников образовательных учреждений общего образования − с 52 463,90 до 68 708,00 руб.;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размера среднемесячной заработной платы педагогических работников дополнительного образования − с 44 890,30 до 71 950,00 руб.;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проведенных конкурсов с целью сокращения детского дорожно-транспортного травматизма − с 5 до 40 штук;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выпущенных видеороликов по безопасности дорожного движения в эфире телевидения Нижневартовского района − с 3 до 10 штук;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выпущенных листовок и изготовленных световозвращающих приспособлений по безопасности дорожного движения и предупреждению детского дорожно-транспортного травматизма − с 2 450 до 19 600 штук;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молодежи о негативных последствиях употребления наркотических, психоактивных веществ и ориентации общественного мнения на здоровый образ жизни (по данным социологических исследований) − с 70 до 83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мероприятий, направленных на профилактику употребления наркотических веществ, алкоголя, − с 10 до 98;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больных наркоманией, прошедших лечение и реабилитацию, длительность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ремиссии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у которых составляет не менее 3 лет − с 6 до 10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 и подростков района, которым предоставлена возможность выбора формы отдыха, обеспечения досуга с целью предупреждения безнадзорности и правонарушений, − с 370 до 475 человек;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оздоровленных детей и подростков на территории района − с 1 600 до 2 230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численности детей и подростков, охваченных досуговыми мероприятиями, − с 900 до 1 289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 и подростков, которым созданы условия для отдыха, оздоровления, реабилитации детей льготных категорий, −  с 1 500 до 1 715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молодого населения, привлеченного к участию в мероприятиях по основным направлениям реализации молодежной политики, − с 8500 до 8600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инновационных программ и проектов, заявленных для участия в районных и окружных конкурсах, − с 14 до 17 штук;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сохранение количества несовершеннолетних, трудоустроенных за счет создания временных рабочих мест, − ежегодно 500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людей в возрасте 14−30 лет, вовлеченных в общественные объединения, − с 3 100 до 3 200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людей в возрасте 14−30 лет, участвующих в добровольческой деятельности, − с 210 до 380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людей в возрасте 14−30 лет, вовлеченных в патриотические объединения и клубы, − с 227 до 315 человек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2014–2020 годы</w:t>
            </w: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«Финансовое обеспечение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3" w:type="dxa"/>
            <w:hideMark/>
          </w:tcPr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C343D0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proofErr w:type="gramStart"/>
            <w:r w:rsidRPr="00C343D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C343D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9 029 377,224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в том числе: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бюджет – 4 200,00 тыс. руб., из них: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4 200,00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бюджет автономного округа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6 655 540,677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1 333 790,80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1 048 947,055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1 090 811,922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1 106 487,40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1 059 255,50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2019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1 016 248,00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 района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2 081 837,057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из них: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487 034,955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349 869,763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369 964,039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294 123,00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2018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282 966,70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2019 год – </w:t>
            </w:r>
            <w:r w:rsidRPr="00C343D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274 178,60</w:t>
            </w: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23 700,00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иные внебюджетные источники – 287 799,49 тыс. руб., из них: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2014 год – 47 851,00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47 584,49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48 091,00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48 091,00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48 091,00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48 091,00 тыс. руб.;</w:t>
            </w:r>
          </w:p>
          <w:p w:rsidR="00C343D0" w:rsidRPr="00C343D0" w:rsidRDefault="00C343D0" w:rsidP="00C343D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3D0"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00,00 тыс. руб.</w:t>
            </w:r>
          </w:p>
          <w:p w:rsidR="002A719A" w:rsidRPr="002A719A" w:rsidRDefault="002A719A" w:rsidP="00C34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19A" w:rsidRPr="002A719A" w:rsidTr="004150FE">
        <w:tc>
          <w:tcPr>
            <w:tcW w:w="3686" w:type="dxa"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203" w:type="dxa"/>
            <w:hideMark/>
          </w:tcPr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в возрасте от 3−7 лет, получающих дошкольную образовательную услугу и (или) услугу по их содержанию, − с 81,2 до 100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уменьшение доли выпускников образовательных учреждений общего образования, не сдавших единый государственный экзамен, в общей численности выпускников муниципальных бюджетных образовательных учреждений − с 0,8 до 0,6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сохранение доли выпускников образовательных учреждений общего образования, не получивших аттестат о среднем (полном) общем образовании, − ежегодно не менее 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в возрасте 5−18 лет программами дополнительного образования (удельный вес численности детей, получающих </w:t>
            </w: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дополнительного образования, в общей численности детей в возрасте 5−18 лет) − с 70,3 до 75,4 процентов;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муниципальных бюджетных образовательных учреждений района, соответствующих современным требованиям обучения, в общем количестве муниципальных бюджетных образовательных учреждений района − с 99 до 100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обучающихся в муниципальных бюджетных образовательных учреждений района, занимающихся во вторую (третью) смену, в общей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бюджетных образовательных учреждений района − ежегодно не менее 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муниципальных бюджетных образовательных учреждений района, разместивших на сайте нормативно закрепленный перечень сведений о своей деятельности, − с 99 до 100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педагогических работников с высшим образованием в общей численности педагогических работников муниципального бюджетного образовательного учреждения района − с 96,7 до 97,3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качества образования − с 42,3 до 45,0 процентов;</w:t>
            </w:r>
          </w:p>
          <w:p w:rsidR="002A719A" w:rsidRPr="002A719A" w:rsidRDefault="002A719A" w:rsidP="002A71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уменьшение удельного расхода энергетических ресурсов в муниципальных образовательных учреждениях района: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 − с 8,4 кВт до 6,26 кВт;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тепловой энергии − с 0,09 Гкал до 0,066 Гкал;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холодной воды − с 4,3 куб.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до 3,14 куб. м;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горячей воды − с 4,8 куб.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до 3,6 куб. м;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изданной печатной продукции и изготовленных световозвращающих приспособлений по пропаганде и соблюдению правил дорожного движения − с 2 450 до 19 600 штук;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снижение случаев дорожно-транспортного травматизма с участием несовершеннолетних обучающихся и воспитанников − с 8 до 2;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привлеченных к участию в профилактических мероприятиях </w:t>
            </w:r>
            <w:r w:rsidRPr="002A71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несовершеннолетних детей, подростков и молодежи в возрасте от 11 до 35 лет по отношению к общей численности данной категории − с 75,0 до 89,0 процентов;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 клубах по месту жительства, − с 63,0 до 70,0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уменьшение числа лиц, впервые зарегистрированных с диагнозом «наркомания» − с 58 до 50 человек;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 и подростков района, которым предоставлена возможность выбора формы отдыха, обеспечение досуга с целью предупреждения безнадзорности и правонарушений − с 9,82 до 13,6 процентов;</w:t>
            </w:r>
            <w:proofErr w:type="gramEnd"/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оздоровленных детей и подростков на территории района − с 42,4 до 63,6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 и подростков, охваченных досуговыми мероприятиями, − с 23,9 до 36,9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 и подростков, которым созданы условия для отдыха, оздоровления, реабилитации детей льготных категорий, −  с 39,8 до 49,2 процентов;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увеличение доли молодых людей, вовлеченных в социально активную деятельность, − с 82 до 86 процентов от общего количества молодежи;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повышение степени удовлетворенности молодежи качеством услуг, предоставляемых региональными и муниципальными молодежными учреждениями, − с 85 до 92 процентов;</w:t>
            </w:r>
          </w:p>
          <w:p w:rsidR="002A719A" w:rsidRPr="002A719A" w:rsidRDefault="002A719A" w:rsidP="002A71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уменьшение удельного расхода энергетических ресурсов в молодежных центрах района: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 − с 8,4 кВт до 6,26 кВт;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тепловой энергии − с 0,09 Гкал до 0,066 Гкал;</w:t>
            </w:r>
          </w:p>
          <w:p w:rsidR="002A719A" w:rsidRPr="002A719A" w:rsidRDefault="002A719A" w:rsidP="002A719A">
            <w:pPr>
              <w:tabs>
                <w:tab w:val="center" w:pos="56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холодной воды − с 4,3 куб.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до 3,14 куб. м;</w:t>
            </w:r>
          </w:p>
          <w:p w:rsidR="002A719A" w:rsidRPr="002A719A" w:rsidRDefault="002A719A" w:rsidP="002A7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горячей воды − с 4,8 куб. </w:t>
            </w:r>
            <w:proofErr w:type="gramStart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A719A">
              <w:rPr>
                <w:rFonts w:ascii="Times New Roman" w:hAnsi="Times New Roman" w:cs="Times New Roman"/>
                <w:sz w:val="28"/>
                <w:szCs w:val="28"/>
              </w:rPr>
              <w:t xml:space="preserve"> до 3,6 куб. м.</w:t>
            </w:r>
          </w:p>
          <w:p w:rsidR="002A719A" w:rsidRPr="002A719A" w:rsidRDefault="002A719A" w:rsidP="002A719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1D6" w:rsidRPr="002A719A" w:rsidRDefault="005E21D6" w:rsidP="002A71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21D6" w:rsidRPr="002A719A" w:rsidSect="008D6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19A"/>
    <w:rsid w:val="002A719A"/>
    <w:rsid w:val="005E21D6"/>
    <w:rsid w:val="008D6445"/>
    <w:rsid w:val="00C343D0"/>
    <w:rsid w:val="00F7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cp:lastPrinted>2016-11-01T10:49:00Z</cp:lastPrinted>
  <dcterms:created xsi:type="dcterms:W3CDTF">2016-10-28T04:55:00Z</dcterms:created>
  <dcterms:modified xsi:type="dcterms:W3CDTF">2016-11-01T10:49:00Z</dcterms:modified>
</cp:coreProperties>
</file>